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182832" cy="78152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82832" cy="7815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ab/>
        <w:t xml:space="preserve"> </w:t>
        <w:tab/>
        <w:t xml:space="preserve"> </w:t>
        <w:tab/>
        <w:t xml:space="preserve">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05"/>
        <w:gridCol w:w="2505"/>
        <w:gridCol w:w="3225"/>
        <w:tblGridChange w:id="0">
          <w:tblGrid>
            <w:gridCol w:w="3705"/>
            <w:gridCol w:w="2505"/>
            <w:gridCol w:w="32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Te Waipounamu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Ōtepoti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Rakiura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Te Whanganui-a-Tara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Te Ika-a-Māui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Rotorua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Te Papaioea 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Kirikiriroa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Whakatū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Wanaka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Taupō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Tamaki-makau-rau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Māwhera 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Ahuriri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Kaikōura </w:t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Te Tihi-o-Maru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Waihōpai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Ōtautahi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Tauranga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Whangarei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Whanganui</w:t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Fonts w:ascii="Tahoma" w:cs="Tahoma" w:eastAsia="Tahoma" w:hAnsi="Tahoma"/>
                <w:sz w:val="36"/>
                <w:szCs w:val="36"/>
                <w:rtl w:val="0"/>
              </w:rPr>
              <w:t xml:space="preserve">Kaitaia</w:t>
              <w:tab/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