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715"/>
        <w:gridCol w:w="2411"/>
        <w:gridCol w:w="3518"/>
        <w:tblGridChange w:id="0">
          <w:tblGrid>
            <w:gridCol w:w="3715"/>
            <w:gridCol w:w="2411"/>
            <w:gridCol w:w="3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fc4d08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fc4d0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Halloween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23ff23" w:val="clear"/>
            <w:tcMar>
              <w:left w:w="54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fb000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b000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í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fb000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de los Muertos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23ff23" w:val="clear"/>
            <w:tcMar>
              <w:left w:w="54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4"/>
                <w:szCs w:val="24"/>
                <w:rtl w:val="0"/>
              </w:rPr>
              <w:t xml:space="preserve">Dates</w:t>
            </w:r>
          </w:p>
          <w:p w:rsidR="00000000" w:rsidDel="00000000" w:rsidP="00000000" w:rsidRDefault="00000000" w:rsidRPr="00000000" w14:paraId="00000007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23ff23" w:val="clear"/>
            <w:tcMar>
              <w:left w:w="54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4"/>
                <w:szCs w:val="24"/>
                <w:rtl w:val="0"/>
              </w:rPr>
              <w:t xml:space="preserve">Main Events and Activities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23ff23" w:val="clear"/>
            <w:tcMar>
              <w:left w:w="54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4"/>
                <w:szCs w:val="24"/>
                <w:rtl w:val="0"/>
              </w:rPr>
              <w:t xml:space="preserve">Clothing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23ff23" w:val="clear"/>
            <w:tcMar>
              <w:left w:w="54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4"/>
                <w:szCs w:val="24"/>
                <w:rtl w:val="0"/>
              </w:rPr>
              <w:t xml:space="preserve">Food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23ff23" w:val="clear"/>
            <w:tcMar>
              <w:left w:w="54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left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Arimo" w:cs="Arimo" w:eastAsia="Arimo" w:hAnsi="Arim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4"/>
                <w:szCs w:val="24"/>
                <w:rtl w:val="0"/>
              </w:rPr>
              <w:t xml:space="preserve">Words Associated with the Holiday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